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INFORMACJA</w:t>
      </w:r>
    </w:p>
    <w:p w14:paraId="00000002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dla sygnalistów umieszczana na stronach BIP (na podstawie art. 48 ust. 1 ustawy o ochronie sygnalistów)</w:t>
      </w:r>
    </w:p>
    <w:p w14:paraId="00000003" w14:textId="77777777" w:rsidR="00123587" w:rsidRDefault="00123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4" w14:textId="77777777" w:rsidR="00123587" w:rsidRDefault="00123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5" w14:textId="77777777" w:rsidR="00123587" w:rsidRDefault="00FB3C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Dane kontaktowe organu umożliwiające dokonanie zgłoszenia zewnętrznego:</w:t>
      </w:r>
    </w:p>
    <w:p w14:paraId="00000006" w14:textId="77777777" w:rsidR="00123587" w:rsidRDefault="00123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00000007" w14:textId="35D2431D" w:rsidR="00123587" w:rsidRDefault="00FB3C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Wójt Gminy Malczyce, Traugutta 15, 55-320 Malczyce</w:t>
      </w:r>
    </w:p>
    <w:p w14:paraId="00000009" w14:textId="1E8522D1" w:rsidR="00123587" w:rsidRDefault="00FB3CB4" w:rsidP="00E744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hyperlink r:id="rId9">
        <w:r>
          <w:rPr>
            <w:rFonts w:ascii="Arial" w:eastAsia="Arial" w:hAnsi="Arial" w:cs="Arial"/>
            <w:color w:val="1155CC"/>
            <w:sz w:val="22"/>
            <w:szCs w:val="22"/>
            <w:highlight w:val="white"/>
            <w:u w:val="single"/>
          </w:rPr>
          <w:t>sygnalista@</w:t>
        </w:r>
      </w:hyperlink>
      <w:r>
        <w:rPr>
          <w:rFonts w:ascii="Arial" w:eastAsia="Arial" w:hAnsi="Arial" w:cs="Arial"/>
          <w:sz w:val="22"/>
          <w:szCs w:val="22"/>
          <w:highlight w:val="white"/>
        </w:rPr>
        <w:t xml:space="preserve">@malczyce.wroc.pl. </w:t>
      </w:r>
      <w:bookmarkStart w:id="0" w:name="_GoBack"/>
      <w:bookmarkEnd w:id="0"/>
    </w:p>
    <w:p w14:paraId="0000000A" w14:textId="77777777" w:rsidR="00123587" w:rsidRDefault="00123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123587" w:rsidRDefault="00FB3C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Warunki objęcia Sygnalisty ochroną: </w:t>
      </w:r>
    </w:p>
    <w:p w14:paraId="0000000C" w14:textId="77777777" w:rsidR="00123587" w:rsidRDefault="00123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0000000D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Sygnalista podlega ochronie określonej w przepisach rozdziału 2 ustawy o ochronie sygnalistów od chwili dokonania zgłoszenia lub ujawnienia publicznego, pod warunkiem że miał uzasadnione podstawy sądzić, że informacja będąca przedmiotem zgłoszenia lub ujaw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nienia publicznego jest prawdziwa w momencie dokonywania zgłoszenia lub ujawnienia publicznego i że stanowi informację o naruszeniu prawa.</w:t>
      </w:r>
    </w:p>
    <w:p w14:paraId="0000000E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Ochronie przewidzianej w procedurze nie podlega sygnalista, który świadomie dokonuje zgłoszenia zewnętrznego, wiedząc</w:t>
      </w:r>
      <w:r>
        <w:rPr>
          <w:rFonts w:ascii="Arial" w:eastAsia="Arial" w:hAnsi="Arial" w:cs="Arial"/>
          <w:color w:val="000000"/>
          <w:sz w:val="22"/>
          <w:szCs w:val="22"/>
        </w:rPr>
        <w:t>, że do naruszenia nie doszło (zła wiara).</w:t>
      </w:r>
    </w:p>
    <w:p w14:paraId="0000000F" w14:textId="77777777" w:rsidR="00123587" w:rsidRDefault="00123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0" w14:textId="77777777" w:rsidR="00123587" w:rsidRDefault="00FB3C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Tryb postępowania w przypadku zgłoszenia zewnętrznego</w:t>
      </w:r>
    </w:p>
    <w:p w14:paraId="00000011" w14:textId="77777777" w:rsidR="00123587" w:rsidRDefault="00123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2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1) W przypadku wpłynięcia zgłoszenia o naruszeniu prawa organ dokonuje wstępnej weryfikacji, która polega na ustaleniu, czy zgłoszenie dotyczy informacji o n</w:t>
      </w:r>
      <w:r>
        <w:rPr>
          <w:rFonts w:ascii="Arial" w:eastAsia="Arial" w:hAnsi="Arial" w:cs="Arial"/>
          <w:color w:val="000000"/>
          <w:sz w:val="22"/>
          <w:szCs w:val="22"/>
        </w:rPr>
        <w:t>aruszeniu prawa, oraz na ustaleniu, czy zgłoszenie dotyczy naruszeń prawa w dziedzinie należącej do zakresu działania tego organu, a jeżeli nie należy - na ustaleniu organu publicznego właściwego do podjęcia działań następczych</w:t>
      </w:r>
    </w:p>
    <w:p w14:paraId="00000013" w14:textId="77777777" w:rsidR="00123587" w:rsidRDefault="00123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4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2) W przypadku, gdy zgłosze</w:t>
      </w:r>
      <w:r>
        <w:rPr>
          <w:rFonts w:ascii="Arial" w:eastAsia="Arial" w:hAnsi="Arial" w:cs="Arial"/>
          <w:color w:val="000000"/>
          <w:sz w:val="22"/>
          <w:szCs w:val="22"/>
        </w:rPr>
        <w:t>nie dotyczy naruszeń prawa w dziedzinie nienależącej do zakresu działania organu, organ przekaże je niezwłocznie, nie później jednak niż w terminie 14 dni od dnia dokonania zgłoszenia, a w uzasadnionych przypadkach - nie później niż w terminie 30 dni, do 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rganu publicznego właściwego do podjęcia działań następczych. W takim przypadku organ poinformuje o tym sygnalistę. </w:t>
      </w:r>
    </w:p>
    <w:p w14:paraId="00000015" w14:textId="77777777" w:rsidR="00123587" w:rsidRDefault="00123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6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3) Jeżeli zgłoszenie nie dotyczy informacji o naruszeniu prawa Organ odstąpi  od przekazania zgłoszenia zewnętrznego oraz poinformuje sygn</w:t>
      </w:r>
      <w:r>
        <w:rPr>
          <w:rFonts w:ascii="Arial" w:eastAsia="Arial" w:hAnsi="Arial" w:cs="Arial"/>
          <w:color w:val="000000"/>
          <w:sz w:val="22"/>
          <w:szCs w:val="22"/>
        </w:rPr>
        <w:t>alistę o odstąpieniu od przekazania zgłoszenia zewnętrznego, podając ustalenia ze wstępnej weryfikacji zgłoszenia.</w:t>
      </w:r>
    </w:p>
    <w:p w14:paraId="00000017" w14:textId="77777777" w:rsidR="00123587" w:rsidRDefault="00123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8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Odstępując od przekazania zgłoszenia zewnętrznego, organ może poinformować sygnalistę, że informacja objęta zgłoszeniem podlega rozpatrzeniu w trybie przewidzianym w przepisach odrębnych, w szczególności jako przedmiot powództwa cywilnego, zawiadomienia o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podejrzeniu popełnienia przestępstwa, skargi do sądu administracyjnego, skargi, wniosku lub petycji, lub może zostać przedstawiona właściwym organom do rozpatrzenia w innym trybie. </w:t>
      </w:r>
    </w:p>
    <w:p w14:paraId="00000019" w14:textId="77777777" w:rsidR="00123587" w:rsidRDefault="00123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A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Organ pouczy sygnalistę, iż przekazanie informacji, o której mowa powyżej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nie wpływa w szczególności na dopuszczalność wniesionego później środka prawnego, na bieg terminów ani na treść rozstrzygnięcia lub sposób zakończenia postępowania. </w:t>
      </w:r>
    </w:p>
    <w:p w14:paraId="0000001B" w14:textId="77777777" w:rsidR="00123587" w:rsidRDefault="00123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C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4) Jeżeli zgłoszenie zostanie uznane za uzasadnione i dotyczy naruszenia prawa w dziedzi</w:t>
      </w:r>
      <w:r>
        <w:rPr>
          <w:rFonts w:ascii="Arial" w:eastAsia="Arial" w:hAnsi="Arial" w:cs="Arial"/>
          <w:color w:val="000000"/>
          <w:sz w:val="22"/>
          <w:szCs w:val="22"/>
        </w:rPr>
        <w:t>nie należącej do zakresu działania organu, organ rozpatruje zgłoszenie i podejmie dalsze kroki w celu zbadania sprawy i podjęcia działań następczych. W uzasadnionych przypadkach, w celu przeprowadzenia postępowania wyjaśniającego organ może przekazać zgłos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zenie: </w:t>
      </w:r>
    </w:p>
    <w:p w14:paraId="0000001D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a) jednostkom organizacyjnym podległym lub nadzorowanym;</w:t>
      </w:r>
    </w:p>
    <w:p w14:paraId="0000001E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b) innej jednostce organizacyjnej, której powierzono zadania w drodze porozumienia.</w:t>
      </w:r>
    </w:p>
    <w:p w14:paraId="0000001F" w14:textId="77777777" w:rsidR="00123587" w:rsidRDefault="00123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0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5) W przypadku przyjęcia zgłoszenia Organ potwierdza przyjęcie na podany przez Sygnalistę adres kontaktowy</w:t>
      </w:r>
      <w:r>
        <w:rPr>
          <w:rFonts w:ascii="Arial" w:eastAsia="Arial" w:hAnsi="Arial" w:cs="Arial"/>
          <w:color w:val="000000"/>
          <w:sz w:val="22"/>
          <w:szCs w:val="22"/>
        </w:rPr>
        <w:t>. Informacje przekazuje się nie później niż w terminie 7 dni od dnia przyjęcia zgłoszenia, chyba że sygnalista wystąpił wyraźnie z odmiennym wnioskiem w tym zakresie albo organ ma uzasadnione podstawy sądzić, że potwierdzenie przyjęcia zgłoszenia zagroziło</w:t>
      </w:r>
      <w:r>
        <w:rPr>
          <w:rFonts w:ascii="Arial" w:eastAsia="Arial" w:hAnsi="Arial" w:cs="Arial"/>
          <w:color w:val="000000"/>
          <w:sz w:val="22"/>
          <w:szCs w:val="22"/>
        </w:rPr>
        <w:t>by ochronie poufności tożsamości sygnalisty.</w:t>
      </w:r>
    </w:p>
    <w:p w14:paraId="00000021" w14:textId="77777777" w:rsidR="00123587" w:rsidRDefault="00123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2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6) W ramach postępowania, organ może zbierać dodatkowe informacje, w tym zwrócić się do Sygnalisty o udzielenie dodatkowych wyjaśnień. Jeżeli sygnalista sprzeciwia się przesłaniu żądanych wyjaśnień lub dodatkow</w:t>
      </w:r>
      <w:r>
        <w:rPr>
          <w:rFonts w:ascii="Arial" w:eastAsia="Arial" w:hAnsi="Arial" w:cs="Arial"/>
          <w:color w:val="000000"/>
          <w:sz w:val="22"/>
          <w:szCs w:val="22"/>
        </w:rPr>
        <w:t>ych informacji lub ich przesłanie może zagrozić ochronie poufności jego tożsamości, organ odstępuje od żądania wyjaśnień lub dodatkowych informacji.</w:t>
      </w:r>
    </w:p>
    <w:p w14:paraId="00000023" w14:textId="77777777" w:rsidR="00123587" w:rsidRDefault="00123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4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7) Organ – jeżeli przewidują to przepisy odrębne, bez zbędnej zwłoki przekazuje właściwym instytucjom, org</w:t>
      </w:r>
      <w:r>
        <w:rPr>
          <w:rFonts w:ascii="Arial" w:eastAsia="Arial" w:hAnsi="Arial" w:cs="Arial"/>
          <w:color w:val="000000"/>
          <w:sz w:val="22"/>
          <w:szCs w:val="22"/>
        </w:rPr>
        <w:t>anom lub jednostkom organizacyjnym Unii Europejskiej informacje zawarte w zgłoszeniu w celu prowadzenia działań następczych w trybie stosowanym przez te instytucje, organy lub jednostki.</w:t>
      </w:r>
    </w:p>
    <w:p w14:paraId="00000025" w14:textId="77777777" w:rsidR="00123587" w:rsidRDefault="00123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6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8) Organ może nie podjąć działań następczych w przypadku, gdy w zgło</w:t>
      </w:r>
      <w:r>
        <w:rPr>
          <w:rFonts w:ascii="Arial" w:eastAsia="Arial" w:hAnsi="Arial" w:cs="Arial"/>
          <w:color w:val="000000"/>
          <w:sz w:val="22"/>
          <w:szCs w:val="22"/>
        </w:rPr>
        <w:t>szeniu, dotyczącym sprawy będącej już przedmiotem wcześniejszego zgłoszenia lub zgłoszenia od innego Sygnalisty, nie zawarto istotnych nowych informacji na temat naruszenia prawa w porównaniu z wcześniejszym zgłoszeniem tego naruszenia. Organ informuje syg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nalistę o niepodjęciu działań następczych, podając uzasadnienie, a w razie kolejnego zgłoszenia - pozostawia je bez rozpoznania i nie informuje o tym sygnalisty. W przypadku nie podjęcia działań następczych w sytuacji opisanej powyżej organ odnotowuje ten </w:t>
      </w:r>
      <w:r>
        <w:rPr>
          <w:rFonts w:ascii="Arial" w:eastAsia="Arial" w:hAnsi="Arial" w:cs="Arial"/>
          <w:color w:val="000000"/>
          <w:sz w:val="22"/>
          <w:szCs w:val="22"/>
        </w:rPr>
        <w:t>fakt wraz z uzasadnieniem w rejestrze zgłoszeń zewnętrznych.</w:t>
      </w:r>
    </w:p>
    <w:p w14:paraId="00000027" w14:textId="77777777" w:rsidR="00123587" w:rsidRDefault="00123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8" w14:textId="77777777" w:rsidR="00123587" w:rsidRDefault="00FB3C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Informacja zwrotna dla sygnalisty</w:t>
      </w:r>
    </w:p>
    <w:p w14:paraId="00000029" w14:textId="77777777" w:rsidR="00123587" w:rsidRDefault="00123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A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Organ przekaże Sygnaliście informację zwrotną w terminie nieprzekraczającym 3 miesięcy od dnia przyjęcia zgłoszenia, a w uzasadnionych przypadkach w terminie nieprzekraczającym 6 miesięcy od dnia przyjęcia zgłoszenia. </w:t>
      </w:r>
    </w:p>
    <w:p w14:paraId="0000002B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Informacja zwrotna zawiera i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nformację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na temat planowanych lub podjętych działań następczych i powodów takich działań;</w:t>
      </w:r>
    </w:p>
    <w:p w14:paraId="0000002C" w14:textId="77777777" w:rsidR="00123587" w:rsidRDefault="00123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D" w14:textId="77777777" w:rsidR="00123587" w:rsidRDefault="00FB3C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Zasady  poufności</w:t>
      </w:r>
    </w:p>
    <w:p w14:paraId="0000002E" w14:textId="77777777" w:rsidR="00123587" w:rsidRDefault="00123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F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Organ publiczny gwarantuje, że procedura przyjmowania zgłoszeń zewnętrznych i procedura zgłoszeń zewnętrznych oraz związane z przyjmowaniem zgłoszeń przet</w:t>
      </w:r>
      <w:r>
        <w:rPr>
          <w:rFonts w:ascii="Arial" w:eastAsia="Arial" w:hAnsi="Arial" w:cs="Arial"/>
          <w:color w:val="000000"/>
          <w:sz w:val="22"/>
          <w:szCs w:val="22"/>
        </w:rPr>
        <w:t>warzanie danych osobowych:</w:t>
      </w:r>
    </w:p>
    <w:p w14:paraId="00000030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1) uniemożliwiają uzyskanie dostępu do informacji objętych zgłoszeniem nieupoważnionym osobom;</w:t>
      </w:r>
    </w:p>
    <w:p w14:paraId="00000031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2) zapewniają ochronę poufności tożsamości sygnalisty oraz osoby, której dotyczy zgłoszenie.</w:t>
      </w:r>
    </w:p>
    <w:p w14:paraId="00000032" w14:textId="77777777" w:rsidR="00123587" w:rsidRDefault="001235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3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Ochrona poufności, o której mowa w pkt 2 powyżej , dotyczy informacji, na podstawie których można bezpośrednio lub pośrednio zidentyfikować tożsamość sygnalisty oraz osoby, której dotyczy zgłoszenie.</w:t>
      </w:r>
    </w:p>
    <w:p w14:paraId="00000034" w14:textId="77777777" w:rsidR="00123587" w:rsidRDefault="001235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5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Sygnalista może wyrazić zgodę na ujawnienie danych osob</w:t>
      </w:r>
      <w:r>
        <w:rPr>
          <w:rFonts w:ascii="Arial" w:eastAsia="Arial" w:hAnsi="Arial" w:cs="Arial"/>
          <w:color w:val="000000"/>
          <w:sz w:val="22"/>
          <w:szCs w:val="22"/>
        </w:rPr>
        <w:t>owych umożliwiających ustalenie jego tożsamości. W przypadku wyrażenia zgody przez sygnalistę, administrator będzie informował osoby wskazane w zgłoszeniu o podaniu ich danych przez sygnalistę (w ramach realizacji obowiązku informacyjnego z art. 14 rozporz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ądzenia Parlamentu Europejskiego i Rady (UE) 2016/679 z dnia 27 kwietnia 2016 r. w sprawie ochrony osób fizycznych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w związku z przetwarzaniem danych osobowych i w sprawie swobodnego przepływu takich danych oraz uchylenia dyrektywy 95/46/WE (ogólne rozporzą</w:t>
      </w:r>
      <w:r>
        <w:rPr>
          <w:rFonts w:ascii="Arial" w:eastAsia="Arial" w:hAnsi="Arial" w:cs="Arial"/>
          <w:color w:val="000000"/>
          <w:sz w:val="22"/>
          <w:szCs w:val="22"/>
        </w:rPr>
        <w:t>dzenie o ochronie danych) dalej RODO. lub w ramach realizacji przez te osoby prawa dostępu do danych osobowych).</w:t>
      </w:r>
    </w:p>
    <w:p w14:paraId="00000036" w14:textId="77777777" w:rsidR="00123587" w:rsidRDefault="00123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7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Zgoda sygnalisty nie jest wymagana w sytuacji, gdy ujawnienie jest koniecznym i proporcjonalnym obowiązkiem wynikającym z przepisów prawa w zw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iązku z postępowaniami wyjaśniającymi prowadzonymi przez organy publiczne lub postępowaniami przygotowawczymi lub sądowymi prowadzonymi przez sądy, w tym w celu zagwarantowania prawa do obrony przysługującego osobie, której dotyczy zgłoszenie. </w:t>
      </w:r>
    </w:p>
    <w:p w14:paraId="00000038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Przed takim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ujawnieniem danych osobowych sygnalisty, właściwy organ publiczny lub właściwy sąd powiadamia o tym sygnalistę, przesyłając w postaci papierowej lub elektronicznej wyjaśnienie powodów ujawnienia jego danych osobowych, chyba że takie powiadomienie zagrozi </w:t>
      </w:r>
      <w:r>
        <w:rPr>
          <w:rFonts w:ascii="Arial" w:eastAsia="Arial" w:hAnsi="Arial" w:cs="Arial"/>
          <w:color w:val="000000"/>
          <w:sz w:val="22"/>
          <w:szCs w:val="22"/>
        </w:rPr>
        <w:t>postępowaniu wyjaśniającemu lub postępowaniu przygotowawczemu, lub sądowemu.</w:t>
      </w:r>
    </w:p>
    <w:p w14:paraId="00000039" w14:textId="77777777" w:rsidR="00123587" w:rsidRDefault="001235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A" w14:textId="77777777" w:rsidR="00123587" w:rsidRDefault="00123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B" w14:textId="77777777" w:rsidR="00123587" w:rsidRDefault="00FB3C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Zasady przetwarzania danych osobowych</w:t>
      </w:r>
    </w:p>
    <w:p w14:paraId="0000003C" w14:textId="77777777" w:rsidR="00123587" w:rsidRDefault="00123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D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Administratorem danych osobowych przetwarzanych w związku z przyjmowaniem i procedowaniem zgłoszeń zewnętrznych jest :</w:t>
      </w:r>
      <w:r>
        <w:rPr>
          <w:rFonts w:ascii="Arial" w:eastAsia="Arial" w:hAnsi="Arial" w:cs="Arial"/>
          <w:sz w:val="22"/>
          <w:szCs w:val="22"/>
          <w:highlight w:val="white"/>
        </w:rPr>
        <w:t>Wójt Gminy Malczyce.</w:t>
      </w:r>
    </w:p>
    <w:p w14:paraId="0000003E" w14:textId="77777777" w:rsidR="00123587" w:rsidRDefault="00123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0000003F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Organ  publiczny przetwarza dane osobowe w minimalnym zakresie, tj. niezbędnym do przyjęcia zgłoszenia lub podjęcia ewentualnego działania następczego.</w:t>
      </w:r>
    </w:p>
    <w:p w14:paraId="00000040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Organ przechowuje dane osobowe, które przetwarza w związku z przyjęciem zgłoszenia lub podjęciem dział</w:t>
      </w:r>
      <w:r>
        <w:rPr>
          <w:rFonts w:ascii="Arial" w:eastAsia="Arial" w:hAnsi="Arial" w:cs="Arial"/>
          <w:color w:val="000000"/>
          <w:sz w:val="22"/>
          <w:szCs w:val="22"/>
        </w:rPr>
        <w:t>ań następczych oraz dokumenty związane z tym zgłoszeniem przez okres 3 lat po zakończeniu roku kalendarzowego, w którym przekazano zgłoszenie zewnętrzne do organu publicznego właściwego do podjęcia działań następczych lub zakończono działania następcze, lu</w:t>
      </w:r>
      <w:r>
        <w:rPr>
          <w:rFonts w:ascii="Arial" w:eastAsia="Arial" w:hAnsi="Arial" w:cs="Arial"/>
          <w:color w:val="000000"/>
          <w:sz w:val="22"/>
          <w:szCs w:val="22"/>
        </w:rPr>
        <w:t>b po zakończeniu postępowań zainicjowanych tymi działaniami. Po tym czasie dane osobowe są usuwane, chyba że dokumenty związane ze zgłoszeniem stanowią część akt postępowań przygotowawczych lub spraw sądowych lub sądowoadministracyjnych.</w:t>
      </w:r>
    </w:p>
    <w:p w14:paraId="00000041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Organ  zbiera tylk</w:t>
      </w:r>
      <w:r>
        <w:rPr>
          <w:rFonts w:ascii="Arial" w:eastAsia="Arial" w:hAnsi="Arial" w:cs="Arial"/>
          <w:color w:val="000000"/>
          <w:sz w:val="22"/>
          <w:szCs w:val="22"/>
        </w:rPr>
        <w:t>o dane niezbędne. Dane niemające znaczenia dla zgłoszenia, nie są zbierane. Dane przypadkowo zebrane są niezwłocznie usuwane, nie później niż do upływu 14 dni od momentu ustalenia, że nie są niezbędne.</w:t>
      </w:r>
    </w:p>
    <w:p w14:paraId="00000042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Administrator informuje osoby wskazane w zgłoszeniu lu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b osoby, których dotyczy zgłoszenie, na podstawie art. 14 RODO, o zasadach przetwarzania ich danych osobowych, z wyłączeniem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informacji o źródle danych osobowych, chyba, że  sygnalista nie spełnia warunków wskazanych w art. 6 ustawy albo wyraził wyraźną zg</w:t>
      </w:r>
      <w:r>
        <w:rPr>
          <w:rFonts w:ascii="Arial" w:eastAsia="Arial" w:hAnsi="Arial" w:cs="Arial"/>
          <w:color w:val="000000"/>
          <w:sz w:val="22"/>
          <w:szCs w:val="22"/>
        </w:rPr>
        <w:t>odę na ujawnienie swojej tożsamości.</w:t>
      </w:r>
    </w:p>
    <w:p w14:paraId="00000043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Administrator realizuje prawo dostępu do danych osobowych osób wskazanych w zgłoszeniu lub osób, których dotyczy zgłoszenie, z wyłączeniem informacji o źródle danych osobowych, chyba, że e sygnalista nie spełnia warunkó</w:t>
      </w:r>
      <w:r>
        <w:rPr>
          <w:rFonts w:ascii="Arial" w:eastAsia="Arial" w:hAnsi="Arial" w:cs="Arial"/>
          <w:color w:val="000000"/>
          <w:sz w:val="22"/>
          <w:szCs w:val="22"/>
        </w:rPr>
        <w:t>w wskazanych w art. 6 ustawy albo wyraził wyraźną zgodę na ujawnienie swojej tożsamości.</w:t>
      </w:r>
    </w:p>
    <w:p w14:paraId="00000044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Administrator zapewnia, że dane osobowe będą:</w:t>
      </w:r>
    </w:p>
    <w:p w14:paraId="00000045" w14:textId="77777777" w:rsidR="00123587" w:rsidRDefault="00FB3C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przetwarzane zgodnie z prawem, rzetelnie i przejrzyście (zasada zgodności z prawem, rzetelności i przejrzystości z art. 5 ust. 1 lit. a) RODO,</w:t>
      </w:r>
    </w:p>
    <w:p w14:paraId="00000046" w14:textId="77777777" w:rsidR="00123587" w:rsidRDefault="00FB3C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zbierane w konkretnych, wyraźnych i prawnie uzasadnionych celach i nieprzetwarzane dalej w sposób niezgodny z tym</w:t>
      </w:r>
      <w:r>
        <w:rPr>
          <w:rFonts w:ascii="Arial" w:eastAsia="Arial" w:hAnsi="Arial" w:cs="Arial"/>
          <w:color w:val="000000"/>
          <w:sz w:val="22"/>
          <w:szCs w:val="22"/>
        </w:rPr>
        <w:t>i celami (zasada ograniczenia celu z art. 5 ust. 1 lit. b) RODO),</w:t>
      </w:r>
    </w:p>
    <w:p w14:paraId="00000047" w14:textId="77777777" w:rsidR="00123587" w:rsidRDefault="00FB3C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adekwatne, stosowne, ograniczone do tego co niezbędne (zasada minimalizacji z art. 5 ust. 1 lit. c) RODO),</w:t>
      </w:r>
    </w:p>
    <w:p w14:paraId="00000048" w14:textId="77777777" w:rsidR="00123587" w:rsidRDefault="00FB3C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prawidłowe i w razie potrzeby uaktualniane (zasada prawidłowości z art. 5 ust. 1 li</w:t>
      </w:r>
      <w:r>
        <w:rPr>
          <w:rFonts w:ascii="Arial" w:eastAsia="Arial" w:hAnsi="Arial" w:cs="Arial"/>
          <w:color w:val="000000"/>
          <w:sz w:val="22"/>
          <w:szCs w:val="22"/>
        </w:rPr>
        <w:t>t. d) RODO),</w:t>
      </w:r>
    </w:p>
    <w:p w14:paraId="00000049" w14:textId="77777777" w:rsidR="00123587" w:rsidRDefault="00FB3C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przechowywane w formie umożliwiającej identyfikację osoby, której dane dotyczą, przez okres nie dłuższy niż niezbędny do celów przetwarzania (zasada prawidłowości z art. 5 ust. 1 lit. e) RODO),</w:t>
      </w:r>
    </w:p>
    <w:p w14:paraId="0000004A" w14:textId="77777777" w:rsidR="00123587" w:rsidRDefault="00FB3C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przetwarzane w sposób zapewniający odpowiednie be</w:t>
      </w:r>
      <w:r>
        <w:rPr>
          <w:rFonts w:ascii="Arial" w:eastAsia="Arial" w:hAnsi="Arial" w:cs="Arial"/>
          <w:color w:val="000000"/>
          <w:sz w:val="22"/>
          <w:szCs w:val="22"/>
        </w:rPr>
        <w:t>zpieczeństwo danych osobowych (zasada integralności i poufności z art. 5 ust. 1 lit. f) RODO).</w:t>
      </w:r>
    </w:p>
    <w:p w14:paraId="0000004B" w14:textId="77777777" w:rsidR="00123587" w:rsidRDefault="00123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4C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Administrator przekazuje sygnaliście na podstawie art. 13 RODO informację o zasadach przetwarzania jego danych osobowych o następującej treści: </w:t>
      </w:r>
    </w:p>
    <w:p w14:paraId="0000004D" w14:textId="77777777" w:rsidR="00123587" w:rsidRDefault="00FB3C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Administratorem danych osobowych jest 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  <w:highlight w:val="white"/>
        </w:rPr>
        <w:t>Wójt Gminy Malczyce, Traugutta 15, 55-320 Malczyce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4E" w14:textId="77777777" w:rsidR="00123587" w:rsidRDefault="00FB3C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Administrator wyznaczył Inspektora Ochrony Danych. Dane kontaktowe Inspektora Ochrony Danych</w:t>
      </w:r>
      <w:r>
        <w:rPr>
          <w:rFonts w:ascii="Arial" w:eastAsia="Arial" w:hAnsi="Arial" w:cs="Arial"/>
          <w:sz w:val="22"/>
          <w:szCs w:val="22"/>
        </w:rPr>
        <w:t xml:space="preserve">: dr Bartosz Mendyk, </w:t>
      </w:r>
      <w:hyperlink r:id="rId10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iod@drmend</w:t>
        </w:r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yk.pl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04F" w14:textId="77777777" w:rsidR="00123587" w:rsidRDefault="00FB3C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Dane osobowe będą przetwarzane na podstawie:</w:t>
      </w:r>
    </w:p>
    <w:p w14:paraId="00000050" w14:textId="77777777" w:rsidR="00123587" w:rsidRDefault="00FB3C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art. 6 ust. 1 lit. c) rozporządzenia Parlamentu Europejskiego i Rady (UE) 2016/679 z dnia 27 kwietnia 2016 r. w sprawie ochrony osób fizycznych w związku z przetwarzaniem danych osobowych i w sprawie swob</w:t>
      </w:r>
      <w:r>
        <w:rPr>
          <w:rFonts w:ascii="Arial" w:eastAsia="Arial" w:hAnsi="Arial" w:cs="Arial"/>
          <w:color w:val="000000"/>
          <w:sz w:val="22"/>
          <w:szCs w:val="22"/>
        </w:rPr>
        <w:t>odnego przepływu takich danych oraz uchylenia dyrektywy 95/46/WE (ogólne rozporządzenie o ochronie danych) (Dz. U. UE. L. z 2016 r. Nr 119, str. 1 z późn. zm.) - dalej RODO – obowiązek administratora, w związku z przepisami ustawy z dnia 14 czerwca 2024 r.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 ochronie sygnalistów (Dz. U. poz. 928), w celu realizacji zadań związanych z obsługą zgłoszeń wewnętrznych,</w:t>
      </w:r>
    </w:p>
    <w:p w14:paraId="00000051" w14:textId="77777777" w:rsidR="00123587" w:rsidRDefault="00FB3C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art. 9 ust. 2 lit. g) RODO w związku z przepisami ustawy o ochronie sygnalistów, jeżeli takie dane osobowe zawarte są w zgłoszeniu sygnalisty.</w:t>
      </w:r>
    </w:p>
    <w:p w14:paraId="00000052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Administrator zapewnia poufność Pani/a danych, w związku z otrzymanym zgłoszeniem. W związku z tym dane mogą być udostępnione jedynie podmiotom uprawnionym do ich przetwarzania na podstawie przepisów prawa. Dane osobowe będą udostępnione podmiotom zapewni</w:t>
      </w:r>
      <w:r>
        <w:rPr>
          <w:rFonts w:ascii="Arial" w:eastAsia="Arial" w:hAnsi="Arial" w:cs="Arial"/>
          <w:color w:val="000000"/>
          <w:sz w:val="22"/>
          <w:szCs w:val="22"/>
        </w:rPr>
        <w:t>ającym, na podstawie umów zawartych przez administratora, obsługę działalności administratora (np. dostawcy usług informatycznych, dostawcy oprogramowania do zgłaszania naruszeń). Dane osobowe mogą być udostępnione podmiotom zewnętrznym wspierającym admini</w:t>
      </w:r>
      <w:r>
        <w:rPr>
          <w:rFonts w:ascii="Arial" w:eastAsia="Arial" w:hAnsi="Arial" w:cs="Arial"/>
          <w:color w:val="000000"/>
          <w:sz w:val="22"/>
          <w:szCs w:val="22"/>
        </w:rPr>
        <w:t>stratora w zakresie przyjmowania zgłoszeń wewnętrznych ( np. kancelaria prawna – jeżeli administrator zdecydował się na zewnętrzne przyjmowanie zgłoszeń). Dane osobowe będą udostępniane odrębnym administratorom, tj. właściwym organom, w przypadku podejmowa</w:t>
      </w:r>
      <w:r>
        <w:rPr>
          <w:rFonts w:ascii="Arial" w:eastAsia="Arial" w:hAnsi="Arial" w:cs="Arial"/>
          <w:color w:val="000000"/>
          <w:sz w:val="22"/>
          <w:szCs w:val="22"/>
        </w:rPr>
        <w:t>nia działań następczych.</w:t>
      </w:r>
    </w:p>
    <w:p w14:paraId="00000053" w14:textId="77777777" w:rsidR="00123587" w:rsidRDefault="00FB3C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Dane osobowe będą przechowywane przez okres 3 lat po zakończeniu roku kalendarzowego, w którym zakończono działania następcze, lub po zakończeniu postępowań zainicjowanych tymi działaniami. . Dane osobowe, które nie mają znaczenia dla rozpatrywania zgłosze</w:t>
      </w:r>
      <w:r>
        <w:rPr>
          <w:rFonts w:ascii="Arial" w:eastAsia="Arial" w:hAnsi="Arial" w:cs="Arial"/>
          <w:color w:val="000000"/>
          <w:sz w:val="22"/>
          <w:szCs w:val="22"/>
        </w:rPr>
        <w:t>nia, nie są zbierane, a w razie przypadkowego zebrania są niezwłocznie usuwane. Usunięcie tych danych osobowych następuje w terminie 14 dni od chwili ustalenia, że nie mają one znaczenia dla sprawy</w:t>
      </w:r>
    </w:p>
    <w:p w14:paraId="00000054" w14:textId="77777777" w:rsidR="00123587" w:rsidRDefault="00FB3C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Posiada Pani/Pan prawo dostępu do treści swoich danych ora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z prawo ich sprostowania, usunięcia w przypadkach przewidzianych przepisami prawa oraz ograniczenia przetwarzania. </w:t>
      </w:r>
    </w:p>
    <w:p w14:paraId="00000055" w14:textId="77777777" w:rsidR="00123587" w:rsidRDefault="00FB3C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Posiada Pani/Pan prawo wniesienia skargi do organu nadzorczego - Prezesa Urzędu Ochrony Danych Osobowych, jeżeli uzna Pani/Pan, iż przetwarz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anie danych osobowych Pani/Pana dotyczących narusza przepisy RODO. </w:t>
      </w:r>
    </w:p>
    <w:p w14:paraId="00000056" w14:textId="77777777" w:rsidR="00123587" w:rsidRDefault="00FB3C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Dane osobowe nie będą podlegały profilowaniu ani, na podstawie tych danych, nie będą podejmowane decyzje w sposób zautomatyzowany. </w:t>
      </w:r>
    </w:p>
    <w:p w14:paraId="00000057" w14:textId="77777777" w:rsidR="00123587" w:rsidRDefault="00FB3C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Pani/Pana dane nie będą udostępnione do państwa trzecieg</w:t>
      </w:r>
      <w:r>
        <w:rPr>
          <w:rFonts w:ascii="Arial" w:eastAsia="Arial" w:hAnsi="Arial" w:cs="Arial"/>
          <w:color w:val="000000"/>
          <w:sz w:val="22"/>
          <w:szCs w:val="22"/>
        </w:rPr>
        <w:t>o lub organizacji międzynarodowej.</w:t>
      </w:r>
    </w:p>
    <w:p w14:paraId="00000058" w14:textId="77777777" w:rsidR="00123587" w:rsidRDefault="00123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59" w14:textId="77777777" w:rsidR="00123587" w:rsidRDefault="00123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5A" w14:textId="77777777" w:rsidR="00123587" w:rsidRDefault="00FB3C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Charakter działań następczych </w:t>
      </w:r>
    </w:p>
    <w:p w14:paraId="0000005B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Działania następcze organu polegać będą na wszelkich działaniach podjętych w celu oceny prawdziwości informacji zawartych w zgłoszeniu oraz w celu przeciwdziałania naruszeniu prawa będącemu przedmiotem zgłoszenia, w szczególności przez postępowanie wyjaśni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ające, wszczęcie kontroli lub postępowania administracyjnego, wniesienie oskarżenia, działanie podjęte w celu odzyskania środków finansowych lub zamknięcie procedury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lastRenderedPageBreak/>
        <w:t xml:space="preserve">realizowanej w ramach procedury przyjmowania zgłoszeń zewnętrznych i podejmowania działań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następczych. </w:t>
      </w:r>
    </w:p>
    <w:p w14:paraId="0000005C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Organ może nie podjąć działań następczych w przypadku, gdy w zgłoszeniu, dotyczącym sprawy będącej już przedmiotem wcześniejszego zgłoszenia lub zgłoszenia od innego Sygnalisty, nie zawarto istotnych nowych informacji na temat naruszenia prawa w porównaniu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 wcześniejszym zgłoszeniem tego naruszenia. Organ informuje sygnalistę o niepodjęciu działań następczych, podając uzasadnienie, a w razie kolejnego zgłoszenia - pozostawia je bez rozpoznania i nie informuje o tym sygnalisty.</w:t>
      </w:r>
    </w:p>
    <w:p w14:paraId="0000005D" w14:textId="77777777" w:rsidR="00123587" w:rsidRDefault="00123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5E" w14:textId="77777777" w:rsidR="00123587" w:rsidRDefault="00FB3C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Środki ochrony prawnej  sygn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alisty oraz dostęp do poufnej porady prawnej</w:t>
      </w:r>
    </w:p>
    <w:p w14:paraId="0000005F" w14:textId="77777777" w:rsidR="00123587" w:rsidRDefault="00123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60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 stosunku do sygnalisty, osoby pomagającej sygnaliście oraz osoby z nim powiązanej zakazane jest stosowanie działań odwetowych pod rygorem odpowiedzialności karnej.  W przypadku podjęcia wobec Sygnalisty dział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ań odwetowych, Sygnalista ma prawo do odszkodowania (w wysokości nie niższej niż przeciętne miesięczne wynagrodzenie w gospodarce narodowej w poprzednim roku, ogłaszane do celów emerytalnych w Dzienniku Urzędowym Rzeczypospolitej Polskiej "Monitor Polski" </w:t>
      </w:r>
      <w:r>
        <w:rPr>
          <w:rFonts w:ascii="Arial" w:eastAsia="Arial" w:hAnsi="Arial" w:cs="Arial"/>
          <w:color w:val="000000"/>
          <w:sz w:val="22"/>
          <w:szCs w:val="22"/>
        </w:rPr>
        <w:t>przez Prezesa Głównego Urzędu Statystycznego) lub prawo do zadośćuczynienia</w:t>
      </w:r>
    </w:p>
    <w:p w14:paraId="00000061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Zakaz działań odwetowych dotyczy również : </w:t>
      </w:r>
    </w:p>
    <w:p w14:paraId="00000062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a) osoby pomagającej w dokonaniu zgłoszenia oraz osoby powiązanej z sygnalistą;</w:t>
      </w:r>
    </w:p>
    <w:p w14:paraId="00000063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b) osoby prawnej lub innej jednostki organizacyjnej poma</w:t>
      </w:r>
      <w:r>
        <w:rPr>
          <w:rFonts w:ascii="Arial" w:eastAsia="Arial" w:hAnsi="Arial" w:cs="Arial"/>
          <w:color w:val="000000"/>
          <w:sz w:val="22"/>
          <w:szCs w:val="22"/>
        </w:rPr>
        <w:t>gającej sygnaliście lub z nim powiązanej, w szczególności stanowiącej własność sygnalisty lub go zatrudniającej</w:t>
      </w:r>
    </w:p>
    <w:p w14:paraId="00000064" w14:textId="77777777" w:rsidR="00123587" w:rsidRDefault="00123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65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Sygnalista przed dokonaniem zgłoszenia zewnętrznego może skorzystać z poufnej porady prawnej w organie. W tym celu należy skontaktować się z </w:t>
      </w:r>
      <w:r>
        <w:rPr>
          <w:rFonts w:ascii="Arial" w:eastAsia="Arial" w:hAnsi="Arial" w:cs="Arial"/>
          <w:sz w:val="22"/>
          <w:szCs w:val="22"/>
          <w:highlight w:val="white"/>
        </w:rPr>
        <w:t>p.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Bartoszem Mendykiem, tel. 507-054-139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Poufna porada prawna dostępna jest w poniedziałki i czwartki w godzinach od 9.00 do 16.00</w:t>
      </w:r>
    </w:p>
    <w:p w14:paraId="00000066" w14:textId="77777777" w:rsidR="00123587" w:rsidRDefault="00123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67" w14:textId="77777777" w:rsidR="00123587" w:rsidRDefault="00FB3C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Warunki ochrony sygnalisty zgodnie z art. 16 ustawy o ochronie sygnalisty</w:t>
      </w:r>
    </w:p>
    <w:p w14:paraId="00000068" w14:textId="77777777" w:rsidR="00123587" w:rsidRDefault="00123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69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Dokonanie zgłoszenia nie może stanowić podstawy odpowiedzialności sygnalisty , w tym odpowiedzialności dyscyplinarnej lub odpowiedzialności za szkodę z tytułu naruszenia praw innych osób lub obowiązków określonych w przepisach prawa, w szczególności w prze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dmiocie zniesławienia, naruszenia dóbr osobistych, praw autorskich, ochrony danych osobowych oraz obowiązku zachowania tajemnicy, w tym tajemnicy przedsiębiorstwa, pod warunkiem że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sygnalista miał uzasadnione podstawy sądzić, że zgłoszenie lub ujawnienie p</w:t>
      </w:r>
      <w:r>
        <w:rPr>
          <w:rFonts w:ascii="Arial" w:eastAsia="Arial" w:hAnsi="Arial" w:cs="Arial"/>
          <w:color w:val="000000"/>
          <w:sz w:val="22"/>
          <w:szCs w:val="22"/>
        </w:rPr>
        <w:t>ubliczne jest niezbędne do ujawnienia naruszenia prawa zgodnie z ustawą.</w:t>
      </w:r>
    </w:p>
    <w:p w14:paraId="0000006A" w14:textId="77777777" w:rsidR="00123587" w:rsidRDefault="001235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6B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 przypadku wszczęcia postępowania prawnego dotyczącego odpowiedzialności, sygnalista może wystąpić o umorzenie takiego postępowania.</w:t>
      </w:r>
    </w:p>
    <w:p w14:paraId="0000006C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Uzyskanie informacji będących przedmiotem zgłosz</w:t>
      </w:r>
      <w:r>
        <w:rPr>
          <w:rFonts w:ascii="Arial" w:eastAsia="Arial" w:hAnsi="Arial" w:cs="Arial"/>
          <w:color w:val="000000"/>
          <w:sz w:val="22"/>
          <w:szCs w:val="22"/>
        </w:rPr>
        <w:t>enia lub ujawnienia publicznego lub dostęp do takich informacji nie mogą stanowić podstawy odpowiedzialności, pod warunkiem że takie uzyskanie lub taki dostęp nie stanowią czynu zabronionego.</w:t>
      </w:r>
    </w:p>
    <w:p w14:paraId="0000006D" w14:textId="77777777" w:rsidR="00123587" w:rsidRDefault="00123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6E" w14:textId="77777777" w:rsidR="00123587" w:rsidRDefault="00FB3C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Zachęta</w:t>
      </w:r>
    </w:p>
    <w:p w14:paraId="0000006F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Organ zachęca przed złożeniem zgłoszenia zewnętrznego do korzystania z procedury zgłoszeń wewnętrznych podmiotu prawnego w którym doszło do naruszenia w przypadku, gdy naruszeniu prawa można skutecznie zaradzić w ramach struktury organizacyjnej tego podmio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tu prawnego, a Sygnalista uważa, że nie zachodzi ryzyko działań odwetowych</w:t>
      </w:r>
      <w:r>
        <w:rPr>
          <w:rFonts w:ascii="Arial" w:eastAsia="Arial" w:hAnsi="Arial" w:cs="Arial"/>
          <w:color w:val="FF0000"/>
          <w:sz w:val="22"/>
          <w:szCs w:val="22"/>
          <w:highlight w:val="white"/>
        </w:rPr>
        <w:t>.</w:t>
      </w:r>
    </w:p>
    <w:p w14:paraId="00000070" w14:textId="77777777" w:rsidR="00123587" w:rsidRDefault="00123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71" w14:textId="77777777" w:rsidR="00123587" w:rsidRDefault="00FB3C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Dane kontaktowe Rzecznika Praw Obywatelskich</w:t>
      </w:r>
    </w:p>
    <w:p w14:paraId="00000072" w14:textId="77777777" w:rsidR="00123587" w:rsidRDefault="00123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73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Kontakt do Rzecznika Praw Obywatelskich</w:t>
      </w:r>
    </w:p>
    <w:p w14:paraId="00000074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1. Do Rzecznika Praw Obywatelskich może się zgłosić każdy, kto uważa, że państwo naruszyło jego prawa, że jest nierówno traktowany.</w:t>
      </w:r>
    </w:p>
    <w:p w14:paraId="00000075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2. Informacyjna linia obywatelska: 800 676 676, e-mail biurorzecznika@brpo.gov.pl,</w:t>
      </w:r>
    </w:p>
    <w:p w14:paraId="00000076" w14:textId="77777777" w:rsidR="00123587" w:rsidRDefault="00FB3C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3. Adres korespondencyjny: Biuro RPO, al.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Solidarności 77, 00-090 Warszawa</w:t>
      </w:r>
    </w:p>
    <w:p w14:paraId="00000077" w14:textId="77777777" w:rsidR="00123587" w:rsidRDefault="00123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78" w14:textId="77777777" w:rsidR="00123587" w:rsidRDefault="00123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00000079" w14:textId="77777777" w:rsidR="00123587" w:rsidRDefault="00123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7A" w14:textId="77777777" w:rsidR="00123587" w:rsidRDefault="00123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7B" w14:textId="77777777" w:rsidR="00123587" w:rsidRDefault="00123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7C" w14:textId="77777777" w:rsidR="00123587" w:rsidRDefault="001235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</w:p>
    <w:sectPr w:rsidR="00123587"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90392" w14:textId="77777777" w:rsidR="00FB3CB4" w:rsidRDefault="00FB3CB4">
      <w:pPr>
        <w:spacing w:line="240" w:lineRule="auto"/>
        <w:ind w:left="0" w:hanging="2"/>
      </w:pPr>
      <w:r>
        <w:separator/>
      </w:r>
    </w:p>
  </w:endnote>
  <w:endnote w:type="continuationSeparator" w:id="0">
    <w:p w14:paraId="74CDB593" w14:textId="77777777" w:rsidR="00FB3CB4" w:rsidRDefault="00FB3CB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D" w14:textId="77777777" w:rsidR="00123587" w:rsidRDefault="00FB3C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eastAsia="Calibri" w:cs="Calibri"/>
        <w:color w:val="000000"/>
      </w:rPr>
    </w:pPr>
    <w:r>
      <w:rPr>
        <w:rFonts w:eastAsia="Calibri" w:cs="Calibri"/>
        <w:color w:val="000000"/>
      </w:rPr>
      <w:t xml:space="preserve">Strona |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 w:rsidR="00E74436">
      <w:rPr>
        <w:rFonts w:eastAsia="Calibri" w:cs="Calibri"/>
        <w:color w:val="000000"/>
      </w:rPr>
      <w:fldChar w:fldCharType="separate"/>
    </w:r>
    <w:r w:rsidR="00E74436">
      <w:rPr>
        <w:rFonts w:eastAsia="Calibri" w:cs="Calibri"/>
        <w:noProof/>
        <w:color w:val="000000"/>
      </w:rPr>
      <w:t>8</w:t>
    </w:r>
    <w:r>
      <w:rPr>
        <w:rFonts w:eastAsia="Calibri" w:cs="Calibri"/>
        <w:color w:val="000000"/>
      </w:rPr>
      <w:fldChar w:fldCharType="end"/>
    </w:r>
    <w:r>
      <w:rPr>
        <w:rFonts w:eastAsia="Calibri" w:cs="Calibri"/>
        <w:color w:val="000000"/>
      </w:rPr>
      <w:t xml:space="preserve"> </w:t>
    </w:r>
  </w:p>
  <w:p w14:paraId="0000007E" w14:textId="77777777" w:rsidR="00123587" w:rsidRDefault="001235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1D0CE" w14:textId="77777777" w:rsidR="00FB3CB4" w:rsidRDefault="00FB3CB4">
      <w:pPr>
        <w:spacing w:line="240" w:lineRule="auto"/>
        <w:ind w:left="0" w:hanging="2"/>
      </w:pPr>
      <w:r>
        <w:separator/>
      </w:r>
    </w:p>
  </w:footnote>
  <w:footnote w:type="continuationSeparator" w:id="0">
    <w:p w14:paraId="5FAAAC69" w14:textId="77777777" w:rsidR="00FB3CB4" w:rsidRDefault="00FB3CB4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052DB"/>
    <w:multiLevelType w:val="multilevel"/>
    <w:tmpl w:val="BF34CDB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43351CF4"/>
    <w:multiLevelType w:val="multilevel"/>
    <w:tmpl w:val="F620E87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nsid w:val="4D4A4350"/>
    <w:multiLevelType w:val="multilevel"/>
    <w:tmpl w:val="2BFCCDC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69732EEF"/>
    <w:multiLevelType w:val="multilevel"/>
    <w:tmpl w:val="9F88A56A"/>
    <w:lvl w:ilvl="0">
      <w:start w:val="1"/>
      <w:numFmt w:val="decimal"/>
      <w:lvlText w:val="%1)"/>
      <w:lvlJc w:val="left"/>
      <w:pPr>
        <w:ind w:left="151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70" w:hanging="180"/>
      </w:pPr>
      <w:rPr>
        <w:vertAlign w:val="baseline"/>
      </w:rPr>
    </w:lvl>
  </w:abstractNum>
  <w:abstractNum w:abstractNumId="4">
    <w:nsid w:val="6DB86FDF"/>
    <w:multiLevelType w:val="multilevel"/>
    <w:tmpl w:val="05E807CC"/>
    <w:lvl w:ilvl="0">
      <w:start w:val="5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87"/>
    <w:rsid w:val="00123587"/>
    <w:rsid w:val="00E74436"/>
    <w:rsid w:val="00FB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B756A-3963-49ED-A2B5-F7973190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4"/>
      <w:szCs w:val="24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ucida Sans"/>
      <w:i/>
      <w:iCs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rPr>
      <w:rFonts w:ascii="Cambria" w:eastAsia="Times New Roman" w:hAnsi="Cambria" w:cs="Mangal"/>
      <w:w w:val="100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paragraph" w:styleId="Bezodstpw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Mangal"/>
      <w:position w:val="-1"/>
      <w:szCs w:val="18"/>
      <w:lang w:eastAsia="zh-CN" w:bidi="hi-IN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Tre9c9ce6e6tekstu">
    <w:name w:val="Treś9c9cće6e6 tekstu"/>
    <w:basedOn w:val="Normalny"/>
    <w:pPr>
      <w:suppressAutoHyphens w:val="0"/>
      <w:autoSpaceDE w:val="0"/>
      <w:autoSpaceDN w:val="0"/>
      <w:adjustRightInd w:val="0"/>
      <w:spacing w:after="140" w:line="276" w:lineRule="atLeast"/>
    </w:pPr>
    <w:rPr>
      <w:rFonts w:eastAsia="NSimSun" w:cs="Arial"/>
      <w:kern w:val="1"/>
      <w:lang w:eastAsia="zh-CN" w:bidi="hi-IN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Calibri" w:eastAsia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Calibri" w:eastAsia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hAnsi="Calibri"/>
      <w:position w:val="-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4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436"/>
    <w:rPr>
      <w:rFonts w:ascii="Segoe UI" w:hAnsi="Segoe UI" w:cs="Segoe UI"/>
      <w:position w:val="-1"/>
      <w:sz w:val="18"/>
      <w:szCs w:val="18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4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436"/>
    <w:rPr>
      <w:rFonts w:ascii="Calibri" w:hAnsi="Calibri"/>
      <w:b/>
      <w:bCs/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drmendyk.pl" TargetMode="External"/><Relationship Id="rId4" Type="http://schemas.openxmlformats.org/officeDocument/2006/relationships/styles" Target="styles.xml"/><Relationship Id="rId9" Type="http://schemas.openxmlformats.org/officeDocument/2006/relationships/hyperlink" Target="mailto:sygnalista@gmina.maczy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nye4k4kL3+VWB4F1v0Og1ywrNA==">CgMxLjAaJwoBMBIiCiAIBCocCgtBQUFCWnIxX2V1WRAIGgtBQUFCWnIxX2V1WSLPAgoLQUFBQlpyMV9ldVkSnQIKC0FBQUJacjFfZXVZEgtBQUFCWnIxX2V1WRovCgl0ZXh0L2h0bWwSIm11c3rEhSBQYcWEc3R3byB3eW15xZtsZcSHIGFkcmVzIEAiMAoKdGV4dC9wbGFpbhIibXVzesSFIFBhxYRzdHdvIHd5bXnFm2xlxIcgYWRyZXMgQCobIhUxMDc2NTUxNTIwNDc1MTcwODQwMzEoADgAMLvQob26Mji70KG9ujJKKQoKdGV4dC9wbGFpbhIbc3lnbmFsaXN0YUBnbWluYS5tYWN6eWNlLnBsWgxsdmlkY3FqYW02cXZyAiAAeACaAQYIABAAGACqASQSIm11c3rEhSBQYcWEc3R3byB3eW15xZtsZcSHIGFkcmVzIECwAQC4AQAYu9ChvboyILvQob26MjAAQhBraXguOXluam1peHI4YWlpOAByITFadnJaUDZYU0x4R255czlFa0FEcXdxZW93UXRiRlFxc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37C81D3-B1BD-45B1-BB3D-D482E24FD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8</Pages>
  <Words>2427</Words>
  <Characters>14564</Characters>
  <Application>Microsoft Office Word</Application>
  <DocSecurity>0</DocSecurity>
  <Lines>121</Lines>
  <Paragraphs>33</Paragraphs>
  <ScaleCrop>false</ScaleCrop>
  <Company/>
  <LinksUpToDate>false</LinksUpToDate>
  <CharactersWithSpaces>16958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Anna Świercz</cp:lastModifiedBy>
  <cp:revision>2</cp:revision>
  <dcterms:created xsi:type="dcterms:W3CDTF">2024-09-30T19:20:00Z</dcterms:created>
  <dcterms:modified xsi:type="dcterms:W3CDTF">2024-12-20T11:35:00Z</dcterms:modified>
</cp:coreProperties>
</file>